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F2" w:rsidRPr="008352FE" w:rsidRDefault="008352FE" w:rsidP="008352FE">
      <w:pPr>
        <w:spacing w:after="0" w:line="360" w:lineRule="auto"/>
        <w:ind w:left="851"/>
        <w:jc w:val="center"/>
        <w:rPr>
          <w:rFonts w:asciiTheme="majorHAnsi" w:hAnsiTheme="majorHAnsi"/>
          <w:b/>
          <w:sz w:val="28"/>
        </w:rPr>
      </w:pPr>
      <w:r w:rsidRPr="008352FE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27305</wp:posOffset>
            </wp:positionV>
            <wp:extent cx="676275" cy="819150"/>
            <wp:effectExtent l="19050" t="0" r="9525" b="0"/>
            <wp:wrapNone/>
            <wp:docPr id="2" name="Picture 1" descr="C:\Users\lenovo\Documents\LOGO BOLMUT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LOGO BOLMUT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2FE">
        <w:rPr>
          <w:rFonts w:asciiTheme="majorHAnsi" w:hAnsiTheme="majorHAnsi"/>
          <w:b/>
          <w:sz w:val="28"/>
        </w:rPr>
        <w:t>PEMERINTAH KABUPATEN BOLAANG MONGONDOW UTARA</w:t>
      </w:r>
    </w:p>
    <w:p w:rsidR="008352FE" w:rsidRPr="008352FE" w:rsidRDefault="008352FE" w:rsidP="008352FE">
      <w:pPr>
        <w:spacing w:after="0" w:line="360" w:lineRule="auto"/>
        <w:ind w:left="851"/>
        <w:jc w:val="center"/>
        <w:rPr>
          <w:rFonts w:asciiTheme="majorHAnsi" w:hAnsiTheme="majorHAnsi"/>
          <w:b/>
          <w:sz w:val="28"/>
        </w:rPr>
      </w:pPr>
      <w:r w:rsidRPr="008352FE">
        <w:rPr>
          <w:rFonts w:asciiTheme="majorHAnsi" w:hAnsiTheme="majorHAnsi"/>
          <w:b/>
          <w:sz w:val="28"/>
        </w:rPr>
        <w:t>UNIT KERJA PENGADAAN BARANG/JASA</w:t>
      </w:r>
    </w:p>
    <w:p w:rsidR="008352FE" w:rsidRDefault="00F403B3" w:rsidP="008352FE">
      <w:pPr>
        <w:spacing w:after="0" w:line="360" w:lineRule="auto"/>
        <w:ind w:left="851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65pt;margin-top:21.9pt;width:475.5pt;height:0;z-index:251660288" o:connectortype="straight"/>
        </w:pict>
      </w:r>
      <w:r w:rsidR="008352FE" w:rsidRPr="008352FE">
        <w:rPr>
          <w:rFonts w:asciiTheme="majorHAnsi" w:hAnsiTheme="majorHAnsi"/>
          <w:b/>
          <w:sz w:val="28"/>
        </w:rPr>
        <w:t>KELOMPOK KERJA PEMILIHAN</w:t>
      </w:r>
      <w:r w:rsidR="008352FE">
        <w:rPr>
          <w:rFonts w:asciiTheme="majorHAnsi" w:hAnsiTheme="majorHAnsi"/>
          <w:b/>
          <w:sz w:val="28"/>
        </w:rPr>
        <w:t xml:space="preserve"> </w:t>
      </w:r>
      <w:r w:rsidR="00771DC0">
        <w:rPr>
          <w:rFonts w:asciiTheme="majorHAnsi" w:hAnsiTheme="majorHAnsi"/>
          <w:b/>
          <w:sz w:val="28"/>
        </w:rPr>
        <w:t>T.A. 2019</w:t>
      </w:r>
    </w:p>
    <w:p w:rsidR="008352FE" w:rsidRDefault="00F403B3" w:rsidP="008352FE">
      <w:pPr>
        <w:spacing w:after="0" w:line="360" w:lineRule="auto"/>
        <w:jc w:val="center"/>
        <w:rPr>
          <w:rFonts w:asciiTheme="majorHAnsi" w:hAnsiTheme="majorHAnsi"/>
        </w:rPr>
      </w:pPr>
      <w:r w:rsidRPr="00F403B3">
        <w:rPr>
          <w:rFonts w:asciiTheme="majorHAnsi" w:hAnsiTheme="majorHAnsi"/>
          <w:b/>
          <w:noProof/>
          <w:sz w:val="28"/>
        </w:rPr>
        <w:pict>
          <v:shape id="_x0000_s1027" type="#_x0000_t32" style="position:absolute;left:0;text-align:left;margin-left:6.65pt;margin-top:1.05pt;width:475.5pt;height:0;z-index:251661312" o:connectortype="straight" strokecolor="black [3200]" strokeweight="2.5pt">
            <v:shadow color="#868686"/>
          </v:shape>
        </w:pict>
      </w:r>
    </w:p>
    <w:p w:rsidR="009C15C6" w:rsidRDefault="009C15C6" w:rsidP="009C15C6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</w:p>
    <w:p w:rsidR="008352FE" w:rsidRPr="009C15C6" w:rsidRDefault="00DE44EE" w:rsidP="009C15C6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9C15C6">
        <w:rPr>
          <w:rFonts w:asciiTheme="majorHAnsi" w:hAnsiTheme="majorHAnsi"/>
          <w:b/>
          <w:sz w:val="24"/>
          <w:u w:val="single"/>
        </w:rPr>
        <w:t xml:space="preserve">BERITA ACARA </w:t>
      </w:r>
      <w:r w:rsidR="001042EC">
        <w:rPr>
          <w:rFonts w:asciiTheme="majorHAnsi" w:hAnsiTheme="majorHAnsi"/>
          <w:b/>
          <w:sz w:val="24"/>
          <w:u w:val="single"/>
        </w:rPr>
        <w:t>SELEKSI GAGAL</w:t>
      </w:r>
    </w:p>
    <w:p w:rsidR="00DE44EE" w:rsidRDefault="00DE44EE" w:rsidP="009C15C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Nomor: </w:t>
      </w:r>
      <w:r w:rsidR="009D477A">
        <w:rPr>
          <w:rFonts w:asciiTheme="majorHAnsi" w:hAnsiTheme="majorHAnsi"/>
        </w:rPr>
        <w:t>03.0</w:t>
      </w:r>
      <w:r w:rsidR="00C75325">
        <w:rPr>
          <w:rFonts w:asciiTheme="majorHAnsi" w:hAnsiTheme="majorHAnsi"/>
        </w:rPr>
        <w:t>5</w:t>
      </w:r>
      <w:r w:rsidR="009D477A">
        <w:rPr>
          <w:rFonts w:asciiTheme="majorHAnsi" w:hAnsiTheme="majorHAnsi"/>
        </w:rPr>
        <w:t>/POKJA-PBJ/BMU/I/2019</w:t>
      </w:r>
    </w:p>
    <w:p w:rsidR="00DE44EE" w:rsidRDefault="00DE44EE" w:rsidP="008352FE">
      <w:pPr>
        <w:spacing w:after="0" w:line="360" w:lineRule="auto"/>
        <w:jc w:val="center"/>
        <w:rPr>
          <w:rFonts w:asciiTheme="majorHAnsi" w:hAnsiTheme="majorHAnsi"/>
        </w:rPr>
      </w:pPr>
    </w:p>
    <w:p w:rsidR="009C15C6" w:rsidRDefault="009C15C6" w:rsidP="008352FE">
      <w:pPr>
        <w:spacing w:after="0" w:line="360" w:lineRule="auto"/>
        <w:jc w:val="center"/>
        <w:rPr>
          <w:rFonts w:asciiTheme="majorHAnsi" w:hAnsiTheme="majorHAnsi"/>
        </w:rPr>
      </w:pPr>
    </w:p>
    <w:p w:rsidR="008352FE" w:rsidRDefault="0017606D" w:rsidP="00E5047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Pada hari ini </w:t>
      </w:r>
      <w:r w:rsidR="008013E8">
        <w:rPr>
          <w:rFonts w:asciiTheme="majorHAnsi" w:hAnsiTheme="majorHAnsi"/>
        </w:rPr>
        <w:t>rabu tanggal dua puluh tujuh bulan februari tahun dua ribu sembilan belas</w:t>
      </w:r>
      <w:r>
        <w:rPr>
          <w:rFonts w:asciiTheme="majorHAnsi" w:hAnsiTheme="majorHAnsi"/>
        </w:rPr>
        <w:t xml:space="preserve">, </w:t>
      </w:r>
      <w:r w:rsidR="001844E4">
        <w:rPr>
          <w:rFonts w:asciiTheme="majorHAnsi" w:hAnsiTheme="majorHAnsi"/>
        </w:rPr>
        <w:t xml:space="preserve">bertempat di Boroko, </w:t>
      </w:r>
      <w:r>
        <w:rPr>
          <w:rFonts w:asciiTheme="majorHAnsi" w:hAnsiTheme="majorHAnsi"/>
        </w:rPr>
        <w:t xml:space="preserve">Pokja Pemilihan </w:t>
      </w:r>
      <w:r w:rsidR="00E27E1D">
        <w:rPr>
          <w:rFonts w:asciiTheme="majorHAnsi" w:hAnsiTheme="majorHAnsi"/>
        </w:rPr>
        <w:t xml:space="preserve">Kabupaten </w:t>
      </w:r>
      <w:r>
        <w:rPr>
          <w:rFonts w:asciiTheme="majorHAnsi" w:hAnsiTheme="majorHAnsi"/>
        </w:rPr>
        <w:t xml:space="preserve">Bolaang Mongondow Utara telah melaksanakan evaluasi </w:t>
      </w:r>
      <w:r w:rsidR="00142C90">
        <w:rPr>
          <w:rFonts w:asciiTheme="majorHAnsi" w:hAnsiTheme="majorHAnsi"/>
        </w:rPr>
        <w:t>penawaran</w:t>
      </w:r>
      <w:r w:rsidR="001844E4">
        <w:rPr>
          <w:rFonts w:asciiTheme="majorHAnsi" w:hAnsiTheme="majorHAnsi"/>
        </w:rPr>
        <w:t xml:space="preserve"> untuk paket pekerjaan</w:t>
      </w:r>
      <w:r>
        <w:rPr>
          <w:rFonts w:asciiTheme="majorHAnsi" w:hAnsiTheme="majorHAnsi"/>
        </w:rPr>
        <w:t>:</w:t>
      </w:r>
    </w:p>
    <w:p w:rsidR="001844E4" w:rsidRDefault="001844E4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</w:p>
    <w:p w:rsidR="001844E4" w:rsidRDefault="001844E4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SKPD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9C15C6">
        <w:rPr>
          <w:rFonts w:asciiTheme="majorHAnsi" w:hAnsiTheme="majorHAnsi"/>
        </w:rPr>
        <w:t>RSUD Bolaang Mongondow Utara</w:t>
      </w:r>
    </w:p>
    <w:p w:rsidR="001844E4" w:rsidRDefault="001844E4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Kode </w:t>
      </w:r>
      <w:r w:rsidR="00847949">
        <w:rPr>
          <w:rFonts w:asciiTheme="majorHAnsi" w:hAnsiTheme="majorHAnsi"/>
        </w:rPr>
        <w:t>Tender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142C90">
        <w:rPr>
          <w:rFonts w:asciiTheme="majorHAnsi" w:hAnsiTheme="majorHAnsi"/>
        </w:rPr>
        <w:t>682</w:t>
      </w:r>
      <w:r w:rsidR="00E6340F">
        <w:rPr>
          <w:rFonts w:asciiTheme="majorHAnsi" w:hAnsiTheme="majorHAnsi"/>
        </w:rPr>
        <w:t>344</w:t>
      </w:r>
    </w:p>
    <w:p w:rsidR="001844E4" w:rsidRDefault="001844E4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Nama Paket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E6340F">
        <w:rPr>
          <w:rFonts w:asciiTheme="majorHAnsi" w:hAnsiTheme="majorHAnsi"/>
        </w:rPr>
        <w:t>Perencanaan Penambahan Gedung Rawat Inap Kelas I, II dan III</w:t>
      </w:r>
    </w:p>
    <w:p w:rsidR="001844E4" w:rsidRDefault="001844E4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Nilai </w:t>
      </w:r>
      <w:r w:rsidR="00847949">
        <w:rPr>
          <w:rFonts w:asciiTheme="majorHAnsi" w:hAnsiTheme="majorHAnsi"/>
        </w:rPr>
        <w:t xml:space="preserve">Total </w:t>
      </w:r>
      <w:r>
        <w:rPr>
          <w:rFonts w:asciiTheme="majorHAnsi" w:hAnsiTheme="majorHAnsi"/>
        </w:rPr>
        <w:t>HPS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E6340F">
        <w:rPr>
          <w:rFonts w:asciiTheme="majorHAnsi" w:hAnsiTheme="majorHAnsi"/>
        </w:rPr>
        <w:t>707.481.500</w:t>
      </w:r>
    </w:p>
    <w:p w:rsidR="00BD4056" w:rsidRDefault="00BD4056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Metode Pengadaan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Seleksi</w:t>
      </w:r>
    </w:p>
    <w:p w:rsidR="00BD4056" w:rsidRDefault="00BD4056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Metode Evaluasi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Kualitas dan Biaya</w:t>
      </w:r>
    </w:p>
    <w:p w:rsidR="001844E4" w:rsidRDefault="001844E4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Tahun Anggaran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 w:rsidR="008B5240">
        <w:rPr>
          <w:rFonts w:asciiTheme="majorHAnsi" w:hAnsiTheme="majorHAnsi"/>
        </w:rPr>
        <w:t>2019</w:t>
      </w:r>
    </w:p>
    <w:p w:rsidR="001844E4" w:rsidRDefault="001844E4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</w:p>
    <w:p w:rsidR="001844E4" w:rsidRDefault="00BD4056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Berdasarkan Berita Acara Evaluasi File I Nomor 03.04/POKJA-PBJ/BMU/II</w:t>
      </w:r>
      <w:r w:rsidR="00707280">
        <w:rPr>
          <w:rFonts w:asciiTheme="majorHAnsi" w:hAnsiTheme="majorHAnsi"/>
        </w:rPr>
        <w:t>/2019 tanggal 26 Februari 2019</w:t>
      </w:r>
      <w:r w:rsidR="00E51A9B">
        <w:rPr>
          <w:rFonts w:asciiTheme="majorHAnsi" w:hAnsiTheme="majorHAnsi"/>
        </w:rPr>
        <w:t>,</w:t>
      </w:r>
      <w:r w:rsidR="00707280">
        <w:rPr>
          <w:rFonts w:asciiTheme="majorHAnsi" w:hAnsiTheme="majorHAnsi"/>
        </w:rPr>
        <w:t xml:space="preserve"> bahwa </w:t>
      </w:r>
      <w:r w:rsidR="00F66732">
        <w:rPr>
          <w:rFonts w:asciiTheme="majorHAnsi" w:hAnsiTheme="majorHAnsi"/>
          <w:b/>
        </w:rPr>
        <w:t>T</w:t>
      </w:r>
      <w:r w:rsidR="00707280" w:rsidRPr="00707280">
        <w:rPr>
          <w:rFonts w:asciiTheme="majorHAnsi" w:hAnsiTheme="majorHAnsi"/>
          <w:b/>
        </w:rPr>
        <w:t xml:space="preserve">idak </w:t>
      </w:r>
      <w:r w:rsidR="00F66732">
        <w:rPr>
          <w:rFonts w:asciiTheme="majorHAnsi" w:hAnsiTheme="majorHAnsi"/>
          <w:b/>
        </w:rPr>
        <w:t>Ada P</w:t>
      </w:r>
      <w:r w:rsidR="00707280" w:rsidRPr="00707280">
        <w:rPr>
          <w:rFonts w:asciiTheme="majorHAnsi" w:hAnsiTheme="majorHAnsi"/>
          <w:b/>
        </w:rPr>
        <w:t>ese</w:t>
      </w:r>
      <w:r w:rsidR="00707280">
        <w:rPr>
          <w:rFonts w:asciiTheme="majorHAnsi" w:hAnsiTheme="majorHAnsi"/>
          <w:b/>
        </w:rPr>
        <w:t>r</w:t>
      </w:r>
      <w:r w:rsidR="00707280" w:rsidRPr="00707280">
        <w:rPr>
          <w:rFonts w:asciiTheme="majorHAnsi" w:hAnsiTheme="majorHAnsi"/>
          <w:b/>
        </w:rPr>
        <w:t xml:space="preserve">ta </w:t>
      </w:r>
      <w:r w:rsidR="002F19FA">
        <w:rPr>
          <w:rFonts w:asciiTheme="majorHAnsi" w:hAnsiTheme="majorHAnsi"/>
          <w:b/>
        </w:rPr>
        <w:t xml:space="preserve">Seleksi </w:t>
      </w:r>
      <w:r w:rsidR="00707280" w:rsidRPr="00707280">
        <w:rPr>
          <w:rFonts w:asciiTheme="majorHAnsi" w:hAnsiTheme="majorHAnsi"/>
          <w:b/>
        </w:rPr>
        <w:t xml:space="preserve">yang </w:t>
      </w:r>
      <w:r w:rsidR="00F66732">
        <w:rPr>
          <w:rFonts w:asciiTheme="majorHAnsi" w:hAnsiTheme="majorHAnsi"/>
          <w:b/>
        </w:rPr>
        <w:t>L</w:t>
      </w:r>
      <w:r w:rsidR="00707280" w:rsidRPr="00707280">
        <w:rPr>
          <w:rFonts w:asciiTheme="majorHAnsi" w:hAnsiTheme="majorHAnsi"/>
          <w:b/>
        </w:rPr>
        <w:t xml:space="preserve">ulus </w:t>
      </w:r>
      <w:r w:rsidR="00F66732">
        <w:rPr>
          <w:rFonts w:asciiTheme="majorHAnsi" w:hAnsiTheme="majorHAnsi"/>
          <w:b/>
        </w:rPr>
        <w:t>E</w:t>
      </w:r>
      <w:r w:rsidR="00707280" w:rsidRPr="00707280">
        <w:rPr>
          <w:rFonts w:asciiTheme="majorHAnsi" w:hAnsiTheme="majorHAnsi"/>
          <w:b/>
        </w:rPr>
        <w:t xml:space="preserve">valuasi </w:t>
      </w:r>
      <w:r w:rsidR="00F66732">
        <w:rPr>
          <w:rFonts w:asciiTheme="majorHAnsi" w:hAnsiTheme="majorHAnsi"/>
          <w:b/>
        </w:rPr>
        <w:t>T</w:t>
      </w:r>
      <w:r w:rsidR="00707280" w:rsidRPr="00707280">
        <w:rPr>
          <w:rFonts w:asciiTheme="majorHAnsi" w:hAnsiTheme="majorHAnsi"/>
          <w:b/>
        </w:rPr>
        <w:t>eknis</w:t>
      </w:r>
      <w:r w:rsidR="00E51A9B">
        <w:rPr>
          <w:rFonts w:asciiTheme="majorHAnsi" w:hAnsiTheme="majorHAnsi"/>
        </w:rPr>
        <w:t>.</w:t>
      </w:r>
      <w:r w:rsidR="00707280">
        <w:rPr>
          <w:rFonts w:asciiTheme="majorHAnsi" w:hAnsiTheme="majorHAnsi"/>
        </w:rPr>
        <w:t xml:space="preserve"> </w:t>
      </w:r>
      <w:r w:rsidR="00E51A9B">
        <w:rPr>
          <w:rFonts w:asciiTheme="majorHAnsi" w:hAnsiTheme="majorHAnsi"/>
        </w:rPr>
        <w:t>D</w:t>
      </w:r>
      <w:r w:rsidR="00A74367">
        <w:rPr>
          <w:rFonts w:asciiTheme="majorHAnsi" w:hAnsiTheme="majorHAnsi"/>
        </w:rPr>
        <w:t xml:space="preserve">engan ini </w:t>
      </w:r>
      <w:r w:rsidR="00707280">
        <w:rPr>
          <w:rFonts w:asciiTheme="majorHAnsi" w:hAnsiTheme="majorHAnsi"/>
        </w:rPr>
        <w:t>Pokja Pemilihan menyatakan</w:t>
      </w:r>
      <w:r w:rsidR="00F66732">
        <w:rPr>
          <w:rFonts w:asciiTheme="majorHAnsi" w:hAnsiTheme="majorHAnsi"/>
        </w:rPr>
        <w:t xml:space="preserve"> bahwa</w:t>
      </w:r>
      <w:r w:rsidR="00707280">
        <w:rPr>
          <w:rFonts w:asciiTheme="majorHAnsi" w:hAnsiTheme="majorHAnsi"/>
        </w:rPr>
        <w:t xml:space="preserve"> </w:t>
      </w:r>
      <w:r w:rsidR="00F66732">
        <w:rPr>
          <w:rFonts w:asciiTheme="majorHAnsi" w:hAnsiTheme="majorHAnsi"/>
          <w:b/>
        </w:rPr>
        <w:t>SELEKSI GAGAL</w:t>
      </w:r>
      <w:r w:rsidR="00707280">
        <w:rPr>
          <w:rFonts w:asciiTheme="majorHAnsi" w:hAnsiTheme="majorHAnsi"/>
        </w:rPr>
        <w:t>.</w:t>
      </w:r>
    </w:p>
    <w:p w:rsidR="00A74367" w:rsidRDefault="00A74367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</w:p>
    <w:p w:rsidR="00A74367" w:rsidRDefault="00A74367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Demikian Berita Acara ini dibuat guna keperluan.</w:t>
      </w:r>
    </w:p>
    <w:p w:rsidR="00C75325" w:rsidRDefault="00C75325" w:rsidP="001844E4">
      <w:pPr>
        <w:tabs>
          <w:tab w:val="left" w:pos="2268"/>
          <w:tab w:val="left" w:pos="2410"/>
        </w:tabs>
        <w:spacing w:after="0" w:line="240" w:lineRule="auto"/>
        <w:jc w:val="both"/>
        <w:rPr>
          <w:rFonts w:asciiTheme="majorHAnsi" w:hAnsiTheme="majorHAnsi"/>
        </w:rPr>
      </w:pPr>
    </w:p>
    <w:p w:rsidR="00C75325" w:rsidRDefault="00C75325" w:rsidP="00C75325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Theme="majorHAnsi" w:hAnsiTheme="majorHAnsi"/>
        </w:rPr>
      </w:pPr>
    </w:p>
    <w:p w:rsidR="00C75325" w:rsidRDefault="00C75325" w:rsidP="00C75325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Theme="majorHAnsi" w:hAnsiTheme="majorHAnsi"/>
        </w:rPr>
      </w:pPr>
    </w:p>
    <w:p w:rsidR="00C75325" w:rsidRDefault="00C75325" w:rsidP="00C75325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Theme="majorHAnsi" w:hAnsiTheme="majorHAnsi"/>
        </w:rPr>
      </w:pPr>
    </w:p>
    <w:p w:rsidR="00C75325" w:rsidRPr="00FB0143" w:rsidRDefault="00C75325" w:rsidP="00C75325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FB0143">
        <w:rPr>
          <w:rFonts w:asciiTheme="majorHAnsi" w:hAnsiTheme="majorHAnsi"/>
          <w:b/>
        </w:rPr>
        <w:t>Kelompok Kerja Pemilihan</w:t>
      </w:r>
    </w:p>
    <w:p w:rsidR="00C75325" w:rsidRPr="00FB0143" w:rsidRDefault="00C75325" w:rsidP="00C75325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FB0143">
        <w:rPr>
          <w:rFonts w:asciiTheme="majorHAnsi" w:hAnsiTheme="majorHAnsi"/>
          <w:b/>
        </w:rPr>
        <w:t>Kabupaten Bolaang Mongondow Utara</w:t>
      </w:r>
      <w:r w:rsidR="00FB0143">
        <w:rPr>
          <w:rFonts w:asciiTheme="majorHAnsi" w:hAnsiTheme="majorHAnsi"/>
          <w:b/>
        </w:rPr>
        <w:t>,</w:t>
      </w:r>
    </w:p>
    <w:p w:rsidR="00C75325" w:rsidRDefault="00C75325" w:rsidP="00C75325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Theme="majorHAnsi" w:hAnsiTheme="majorHAnsi"/>
        </w:rPr>
      </w:pPr>
    </w:p>
    <w:p w:rsidR="001136CA" w:rsidRDefault="001136CA" w:rsidP="00C75325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Theme="majorHAnsi" w:hAnsiTheme="majorHAnsi"/>
        </w:rPr>
      </w:pPr>
    </w:p>
    <w:p w:rsidR="00C75325" w:rsidRPr="001136CA" w:rsidRDefault="002D0630" w:rsidP="00C75325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1136CA">
        <w:rPr>
          <w:rFonts w:asciiTheme="majorHAnsi" w:hAnsiTheme="majorHAnsi"/>
          <w:b/>
        </w:rPr>
        <w:t>TTD</w:t>
      </w:r>
      <w:r w:rsidR="001136CA" w:rsidRPr="001136CA">
        <w:rPr>
          <w:rFonts w:asciiTheme="majorHAnsi" w:hAnsiTheme="majorHAnsi"/>
          <w:b/>
        </w:rPr>
        <w:t>,</w:t>
      </w:r>
    </w:p>
    <w:p w:rsidR="00C75325" w:rsidRPr="00707280" w:rsidRDefault="00C75325" w:rsidP="00C75325">
      <w:pPr>
        <w:tabs>
          <w:tab w:val="left" w:pos="2268"/>
          <w:tab w:val="left" w:pos="2410"/>
        </w:tabs>
        <w:spacing w:after="0" w:line="240" w:lineRule="auto"/>
        <w:jc w:val="center"/>
        <w:rPr>
          <w:rFonts w:asciiTheme="majorHAnsi" w:hAnsiTheme="majorHAnsi"/>
        </w:rPr>
      </w:pPr>
    </w:p>
    <w:p w:rsidR="001411BD" w:rsidRDefault="001411BD" w:rsidP="00E50476">
      <w:pPr>
        <w:spacing w:after="0" w:line="240" w:lineRule="auto"/>
        <w:jc w:val="both"/>
        <w:rPr>
          <w:rFonts w:asciiTheme="majorHAnsi" w:hAnsiTheme="majorHAnsi"/>
        </w:rPr>
      </w:pPr>
    </w:p>
    <w:sectPr w:rsidR="001411BD" w:rsidSect="00CB1D19">
      <w:pgSz w:w="12242" w:h="18722" w:code="258"/>
      <w:pgMar w:top="993" w:right="1247" w:bottom="130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629"/>
    <w:multiLevelType w:val="hybridMultilevel"/>
    <w:tmpl w:val="DC100C5E"/>
    <w:lvl w:ilvl="0" w:tplc="C3A637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59F9"/>
    <w:multiLevelType w:val="hybridMultilevel"/>
    <w:tmpl w:val="76FAD1F0"/>
    <w:lvl w:ilvl="0" w:tplc="E3CA5C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FF5D5C"/>
    <w:multiLevelType w:val="hybridMultilevel"/>
    <w:tmpl w:val="8A0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0728D"/>
    <w:multiLevelType w:val="hybridMultilevel"/>
    <w:tmpl w:val="F38CF4AE"/>
    <w:lvl w:ilvl="0" w:tplc="7D56E1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05B97"/>
    <w:multiLevelType w:val="hybridMultilevel"/>
    <w:tmpl w:val="3C1AFFB2"/>
    <w:lvl w:ilvl="0" w:tplc="1A58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F03ED8"/>
    <w:multiLevelType w:val="hybridMultilevel"/>
    <w:tmpl w:val="C6F2E2F6"/>
    <w:lvl w:ilvl="0" w:tplc="0DB64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52FE"/>
    <w:rsid w:val="00033CD3"/>
    <w:rsid w:val="00074AF1"/>
    <w:rsid w:val="000821F9"/>
    <w:rsid w:val="000A38E6"/>
    <w:rsid w:val="000D1BCF"/>
    <w:rsid w:val="000F4B9E"/>
    <w:rsid w:val="00101EB1"/>
    <w:rsid w:val="001042EC"/>
    <w:rsid w:val="00112A60"/>
    <w:rsid w:val="001136CA"/>
    <w:rsid w:val="00113F36"/>
    <w:rsid w:val="001252E8"/>
    <w:rsid w:val="001344E7"/>
    <w:rsid w:val="001411BD"/>
    <w:rsid w:val="00142C90"/>
    <w:rsid w:val="00145375"/>
    <w:rsid w:val="00147850"/>
    <w:rsid w:val="001511C1"/>
    <w:rsid w:val="001535BA"/>
    <w:rsid w:val="0015744F"/>
    <w:rsid w:val="00163532"/>
    <w:rsid w:val="00164B40"/>
    <w:rsid w:val="0017606D"/>
    <w:rsid w:val="001844E4"/>
    <w:rsid w:val="00190077"/>
    <w:rsid w:val="001A1157"/>
    <w:rsid w:val="001B7804"/>
    <w:rsid w:val="001C3C52"/>
    <w:rsid w:val="001E1261"/>
    <w:rsid w:val="001F6121"/>
    <w:rsid w:val="00205835"/>
    <w:rsid w:val="0021198C"/>
    <w:rsid w:val="00215EE9"/>
    <w:rsid w:val="002379CD"/>
    <w:rsid w:val="002437F9"/>
    <w:rsid w:val="00271B9A"/>
    <w:rsid w:val="002746DF"/>
    <w:rsid w:val="00292801"/>
    <w:rsid w:val="00296561"/>
    <w:rsid w:val="002B4E15"/>
    <w:rsid w:val="002B55C3"/>
    <w:rsid w:val="002B7900"/>
    <w:rsid w:val="002C30B7"/>
    <w:rsid w:val="002D0630"/>
    <w:rsid w:val="002F19FA"/>
    <w:rsid w:val="002F510C"/>
    <w:rsid w:val="003436AF"/>
    <w:rsid w:val="00343A9E"/>
    <w:rsid w:val="00346104"/>
    <w:rsid w:val="00361248"/>
    <w:rsid w:val="0036508D"/>
    <w:rsid w:val="00376D1C"/>
    <w:rsid w:val="003E0D3E"/>
    <w:rsid w:val="003E3071"/>
    <w:rsid w:val="004112DA"/>
    <w:rsid w:val="0041569B"/>
    <w:rsid w:val="004229E4"/>
    <w:rsid w:val="0045009B"/>
    <w:rsid w:val="00456807"/>
    <w:rsid w:val="004825B4"/>
    <w:rsid w:val="004B17BD"/>
    <w:rsid w:val="004B5B7A"/>
    <w:rsid w:val="004C32DC"/>
    <w:rsid w:val="004D0364"/>
    <w:rsid w:val="004D1A2E"/>
    <w:rsid w:val="004D1E0D"/>
    <w:rsid w:val="004D5300"/>
    <w:rsid w:val="004E7CE6"/>
    <w:rsid w:val="00507351"/>
    <w:rsid w:val="00525675"/>
    <w:rsid w:val="00545C33"/>
    <w:rsid w:val="00556F1F"/>
    <w:rsid w:val="00561C5A"/>
    <w:rsid w:val="005640C6"/>
    <w:rsid w:val="00580AD4"/>
    <w:rsid w:val="005927A0"/>
    <w:rsid w:val="005E58CA"/>
    <w:rsid w:val="005F33B2"/>
    <w:rsid w:val="00602A6D"/>
    <w:rsid w:val="00604CA0"/>
    <w:rsid w:val="00616EF2"/>
    <w:rsid w:val="00617894"/>
    <w:rsid w:val="00626ECA"/>
    <w:rsid w:val="00654868"/>
    <w:rsid w:val="00661C95"/>
    <w:rsid w:val="00662BB0"/>
    <w:rsid w:val="00670BB9"/>
    <w:rsid w:val="006733A1"/>
    <w:rsid w:val="00677B3F"/>
    <w:rsid w:val="00685150"/>
    <w:rsid w:val="006B396F"/>
    <w:rsid w:val="006B39B1"/>
    <w:rsid w:val="006B7FC1"/>
    <w:rsid w:val="006C4916"/>
    <w:rsid w:val="006C647B"/>
    <w:rsid w:val="006F57A9"/>
    <w:rsid w:val="00707280"/>
    <w:rsid w:val="00713AEA"/>
    <w:rsid w:val="007142BB"/>
    <w:rsid w:val="00746238"/>
    <w:rsid w:val="0075043E"/>
    <w:rsid w:val="007514FF"/>
    <w:rsid w:val="00767CC5"/>
    <w:rsid w:val="00771DC0"/>
    <w:rsid w:val="00783673"/>
    <w:rsid w:val="0078533A"/>
    <w:rsid w:val="007971EE"/>
    <w:rsid w:val="007B4BC1"/>
    <w:rsid w:val="007D2B6B"/>
    <w:rsid w:val="007E4478"/>
    <w:rsid w:val="007F0EC2"/>
    <w:rsid w:val="007F201A"/>
    <w:rsid w:val="008013E8"/>
    <w:rsid w:val="00801D99"/>
    <w:rsid w:val="00817931"/>
    <w:rsid w:val="00833A43"/>
    <w:rsid w:val="008352FE"/>
    <w:rsid w:val="00840EEC"/>
    <w:rsid w:val="00847949"/>
    <w:rsid w:val="00851E12"/>
    <w:rsid w:val="008642C3"/>
    <w:rsid w:val="008647E7"/>
    <w:rsid w:val="00877319"/>
    <w:rsid w:val="00883BA8"/>
    <w:rsid w:val="008B5240"/>
    <w:rsid w:val="00913FEC"/>
    <w:rsid w:val="00941466"/>
    <w:rsid w:val="0095076E"/>
    <w:rsid w:val="00983D62"/>
    <w:rsid w:val="009A2EEF"/>
    <w:rsid w:val="009B38F6"/>
    <w:rsid w:val="009C15AA"/>
    <w:rsid w:val="009C15C6"/>
    <w:rsid w:val="009D38D7"/>
    <w:rsid w:val="009D477A"/>
    <w:rsid w:val="009D63AC"/>
    <w:rsid w:val="009F0594"/>
    <w:rsid w:val="009F549C"/>
    <w:rsid w:val="009F6185"/>
    <w:rsid w:val="00A05985"/>
    <w:rsid w:val="00A07189"/>
    <w:rsid w:val="00A10022"/>
    <w:rsid w:val="00A11C03"/>
    <w:rsid w:val="00A31F8C"/>
    <w:rsid w:val="00A5615D"/>
    <w:rsid w:val="00A574AB"/>
    <w:rsid w:val="00A60F08"/>
    <w:rsid w:val="00A74367"/>
    <w:rsid w:val="00A84318"/>
    <w:rsid w:val="00A8787A"/>
    <w:rsid w:val="00A91AB9"/>
    <w:rsid w:val="00AB3BDA"/>
    <w:rsid w:val="00AD6EA9"/>
    <w:rsid w:val="00AE0C10"/>
    <w:rsid w:val="00AE4B5A"/>
    <w:rsid w:val="00AF169B"/>
    <w:rsid w:val="00AF6D96"/>
    <w:rsid w:val="00B53196"/>
    <w:rsid w:val="00B57287"/>
    <w:rsid w:val="00B662F0"/>
    <w:rsid w:val="00B67257"/>
    <w:rsid w:val="00B737A3"/>
    <w:rsid w:val="00B73B78"/>
    <w:rsid w:val="00B7632C"/>
    <w:rsid w:val="00BA2FCA"/>
    <w:rsid w:val="00BB3F93"/>
    <w:rsid w:val="00BC4AFF"/>
    <w:rsid w:val="00BD4056"/>
    <w:rsid w:val="00BE6E0F"/>
    <w:rsid w:val="00C010B5"/>
    <w:rsid w:val="00C173AC"/>
    <w:rsid w:val="00C34927"/>
    <w:rsid w:val="00C377A6"/>
    <w:rsid w:val="00C420E3"/>
    <w:rsid w:val="00C53FE5"/>
    <w:rsid w:val="00C67137"/>
    <w:rsid w:val="00C71B52"/>
    <w:rsid w:val="00C74147"/>
    <w:rsid w:val="00C75325"/>
    <w:rsid w:val="00C94812"/>
    <w:rsid w:val="00CB1D19"/>
    <w:rsid w:val="00CB7C60"/>
    <w:rsid w:val="00CC3E6A"/>
    <w:rsid w:val="00CD140A"/>
    <w:rsid w:val="00CE60A8"/>
    <w:rsid w:val="00D02A07"/>
    <w:rsid w:val="00D20463"/>
    <w:rsid w:val="00D33D5F"/>
    <w:rsid w:val="00D44FC7"/>
    <w:rsid w:val="00D86CF6"/>
    <w:rsid w:val="00D92E4C"/>
    <w:rsid w:val="00DB1F10"/>
    <w:rsid w:val="00DB606F"/>
    <w:rsid w:val="00DD4936"/>
    <w:rsid w:val="00DE44EE"/>
    <w:rsid w:val="00DE5CC5"/>
    <w:rsid w:val="00DF6DD2"/>
    <w:rsid w:val="00E01500"/>
    <w:rsid w:val="00E111DD"/>
    <w:rsid w:val="00E27E1D"/>
    <w:rsid w:val="00E33EBD"/>
    <w:rsid w:val="00E415A1"/>
    <w:rsid w:val="00E45A10"/>
    <w:rsid w:val="00E50476"/>
    <w:rsid w:val="00E51A9B"/>
    <w:rsid w:val="00E54962"/>
    <w:rsid w:val="00E6340F"/>
    <w:rsid w:val="00E76679"/>
    <w:rsid w:val="00E77983"/>
    <w:rsid w:val="00E82EE3"/>
    <w:rsid w:val="00E848A3"/>
    <w:rsid w:val="00E958E9"/>
    <w:rsid w:val="00E96395"/>
    <w:rsid w:val="00EB091A"/>
    <w:rsid w:val="00ED4B13"/>
    <w:rsid w:val="00EE6796"/>
    <w:rsid w:val="00F02F7C"/>
    <w:rsid w:val="00F05DFA"/>
    <w:rsid w:val="00F11C7E"/>
    <w:rsid w:val="00F15483"/>
    <w:rsid w:val="00F2371A"/>
    <w:rsid w:val="00F32DC2"/>
    <w:rsid w:val="00F403B3"/>
    <w:rsid w:val="00F42F33"/>
    <w:rsid w:val="00F47972"/>
    <w:rsid w:val="00F60202"/>
    <w:rsid w:val="00F63391"/>
    <w:rsid w:val="00F6428B"/>
    <w:rsid w:val="00F64C4F"/>
    <w:rsid w:val="00F66732"/>
    <w:rsid w:val="00F75D1B"/>
    <w:rsid w:val="00F85717"/>
    <w:rsid w:val="00F94B55"/>
    <w:rsid w:val="00FA2946"/>
    <w:rsid w:val="00FB0143"/>
    <w:rsid w:val="00FC155C"/>
    <w:rsid w:val="00FD0FBF"/>
    <w:rsid w:val="00F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6D"/>
    <w:pPr>
      <w:ind w:left="720"/>
      <w:contextualSpacing/>
    </w:pPr>
  </w:style>
  <w:style w:type="table" w:styleId="TableGrid">
    <w:name w:val="Table Grid"/>
    <w:basedOn w:val="TableNormal"/>
    <w:uiPriority w:val="59"/>
    <w:rsid w:val="007B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261</cp:revision>
  <dcterms:created xsi:type="dcterms:W3CDTF">2019-01-29T00:55:00Z</dcterms:created>
  <dcterms:modified xsi:type="dcterms:W3CDTF">2019-02-27T12:51:00Z</dcterms:modified>
</cp:coreProperties>
</file>